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354"/>
        <w:tblW w:w="92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3808"/>
        <w:gridCol w:w="1498"/>
        <w:gridCol w:w="3966"/>
      </w:tblGrid>
      <w:tr w:rsidR="00D0515F" w:rsidRPr="002E3CDD" w:rsidTr="00D0515F">
        <w:trPr>
          <w:trHeight w:val="521"/>
        </w:trPr>
        <w:tc>
          <w:tcPr>
            <w:tcW w:w="3808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Tempus Sans ITC" w:hAnsi="Tempus Sans ITC"/>
                <w:noProof/>
                <w:sz w:val="20"/>
              </w:rPr>
              <w:drawing>
                <wp:anchor distT="0" distB="0" distL="114300" distR="114300" simplePos="0" relativeHeight="251659264" behindDoc="1" locked="0" layoutInCell="1" allowOverlap="1" wp14:anchorId="35EBD8AB" wp14:editId="33E3ED04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114300</wp:posOffset>
                  </wp:positionV>
                  <wp:extent cx="765810" cy="819150"/>
                  <wp:effectExtent l="1905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81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r w:rsidRPr="002E3CDD">
              <w:rPr>
                <w:rFonts w:ascii="Arial" w:hAnsi="Arial" w:cs="Arial"/>
                <w:b/>
                <w:color w:val="0000FF"/>
              </w:rPr>
              <w:t>MINISTRY OF EDUCATION</w:t>
            </w:r>
          </w:p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Maraurau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Api’i</w:t>
            </w:r>
            <w:proofErr w:type="spellEnd"/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b/>
                <w:color w:val="0000FF"/>
              </w:rPr>
            </w:pPr>
          </w:p>
          <w:p w:rsidR="00D0515F" w:rsidRDefault="00D0515F" w:rsidP="00D0515F">
            <w:pPr>
              <w:rPr>
                <w:rFonts w:ascii="Arial" w:hAnsi="Arial" w:cs="Arial"/>
                <w:b/>
                <w:color w:val="0000FF"/>
              </w:rPr>
            </w:pPr>
            <w:r w:rsidRPr="002E3CDD">
              <w:rPr>
                <w:rFonts w:ascii="Arial" w:hAnsi="Arial" w:cs="Arial"/>
                <w:b/>
                <w:color w:val="0000FF"/>
              </w:rPr>
              <w:t xml:space="preserve">Government of the </w:t>
            </w:r>
            <w:smartTag w:uri="urn:schemas-microsoft-com:office:smarttags" w:element="place">
              <w:r w:rsidRPr="002E3CDD">
                <w:rPr>
                  <w:rFonts w:ascii="Arial" w:hAnsi="Arial" w:cs="Arial"/>
                  <w:b/>
                  <w:color w:val="0000FF"/>
                </w:rPr>
                <w:t>Cook Islands</w:t>
              </w:r>
            </w:smartTag>
          </w:p>
          <w:p w:rsidR="00D0515F" w:rsidRPr="002E3CDD" w:rsidRDefault="00D0515F" w:rsidP="00D0515F">
            <w:pPr>
              <w:jc w:val="center"/>
              <w:rPr>
                <w:rFonts w:ascii="Arial" w:hAnsi="Arial" w:cs="Arial"/>
                <w:b/>
                <w:color w:val="0000FF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Kavamani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o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Kuki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Airani</w:t>
            </w:r>
            <w:proofErr w:type="spellEnd"/>
          </w:p>
        </w:tc>
      </w:tr>
      <w:tr w:rsidR="00D0515F" w:rsidRPr="002E3CDD" w:rsidTr="00D0515F">
        <w:trPr>
          <w:trHeight w:val="325"/>
        </w:trPr>
        <w:tc>
          <w:tcPr>
            <w:tcW w:w="3808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DD">
              <w:rPr>
                <w:rFonts w:ascii="Arial" w:hAnsi="Arial" w:cs="Arial"/>
                <w:b/>
                <w:sz w:val="18"/>
                <w:szCs w:val="18"/>
              </w:rPr>
              <w:t>PO Box 97, Rarotonga, Cook Islands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6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D0515F" w:rsidRPr="002E3CDD" w:rsidRDefault="00D0515F" w:rsidP="00D051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E3CDD">
              <w:rPr>
                <w:rFonts w:ascii="Arial" w:hAnsi="Arial" w:cs="Arial"/>
                <w:b/>
                <w:sz w:val="18"/>
                <w:szCs w:val="18"/>
              </w:rPr>
              <w:t>Tel: (682) 29357 Fax: (682) 28357</w:t>
            </w:r>
          </w:p>
        </w:tc>
      </w:tr>
    </w:tbl>
    <w:p w:rsidR="00122313" w:rsidRDefault="00122313" w:rsidP="0051566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15668" w:rsidRPr="00326F62" w:rsidRDefault="00B30867" w:rsidP="00D0515F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201</w:t>
      </w:r>
      <w:r w:rsidR="00500C5E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9</w:t>
      </w:r>
      <w:r w:rsidR="00590B4D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TE REINGA AKATAUNGA’ANGA (COOK ISLANDS</w:t>
      </w:r>
      <w:r w:rsidR="00B02DE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TERTIARY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S</w:t>
      </w:r>
      <w:r w:rsidR="00B02DE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TUDY SUPPORT</w:t>
      </w:r>
      <w:r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 xml:space="preserve"> PROGRAMME</w:t>
      </w:r>
      <w:r w:rsidR="00B02DE5">
        <w:rPr>
          <w:rFonts w:ascii="Arial Narrow" w:hAnsi="Arial Narrow" w:cs="Arial Narrow"/>
          <w:b/>
          <w:bCs/>
          <w:color w:val="000000"/>
          <w:sz w:val="23"/>
          <w:szCs w:val="23"/>
          <w:u w:val="single"/>
        </w:rPr>
        <w:t>)</w:t>
      </w:r>
    </w:p>
    <w:p w:rsidR="00614B45" w:rsidRDefault="00614B45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B30867" w:rsidRDefault="00A01029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Expressions of Interest are sought </w:t>
      </w:r>
      <w:r w:rsidR="005F38A0">
        <w:rPr>
          <w:rFonts w:ascii="Arial Narrow" w:hAnsi="Arial Narrow" w:cs="Arial Narrow"/>
          <w:color w:val="000000"/>
          <w:sz w:val="23"/>
          <w:szCs w:val="23"/>
        </w:rPr>
        <w:t xml:space="preserve">from Cook Islanders </w:t>
      </w:r>
      <w:r w:rsidR="005F63BA">
        <w:rPr>
          <w:rFonts w:ascii="Arial Narrow" w:hAnsi="Arial Narrow" w:cs="Arial Narrow"/>
          <w:color w:val="000000"/>
          <w:sz w:val="23"/>
          <w:szCs w:val="23"/>
        </w:rPr>
        <w:t xml:space="preserve">and Permanent Residents for </w:t>
      </w:r>
      <w:r>
        <w:rPr>
          <w:rFonts w:ascii="Arial Narrow" w:hAnsi="Arial Narrow" w:cs="Arial Narrow"/>
          <w:color w:val="000000"/>
          <w:sz w:val="23"/>
          <w:szCs w:val="23"/>
        </w:rPr>
        <w:t>the following awards:</w:t>
      </w:r>
    </w:p>
    <w:p w:rsidR="00500C5E" w:rsidRDefault="00500C5E" w:rsidP="00515668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B30867" w:rsidRDefault="00B30867" w:rsidP="00B02D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4B6031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 xml:space="preserve">Domestic </w:t>
      </w:r>
      <w:r w:rsidR="00A01029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Scholarships</w:t>
      </w:r>
      <w:r w:rsidRPr="004B6031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:</w:t>
      </w:r>
    </w:p>
    <w:p w:rsidR="00500C5E" w:rsidRDefault="00500C5E" w:rsidP="00500C5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500C5E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Full Scholarship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– This scholarship is intended for school leavers </w:t>
      </w:r>
      <w:r w:rsidR="005F63BA">
        <w:rPr>
          <w:rFonts w:ascii="Arial Narrow" w:hAnsi="Arial Narrow" w:cs="Arial Narrow"/>
          <w:color w:val="000000"/>
          <w:sz w:val="23"/>
          <w:szCs w:val="23"/>
        </w:rPr>
        <w:t xml:space="preserve">and also applies to mature applicants </w:t>
      </w:r>
      <w:r>
        <w:rPr>
          <w:rFonts w:ascii="Arial Narrow" w:hAnsi="Arial Narrow" w:cs="Arial Narrow"/>
          <w:color w:val="000000"/>
          <w:sz w:val="23"/>
          <w:szCs w:val="23"/>
        </w:rPr>
        <w:t>who are already studying part time and want to fast track their degree by studying full time.</w:t>
      </w:r>
      <w:r w:rsidR="00A01029">
        <w:rPr>
          <w:rFonts w:ascii="Arial Narrow" w:hAnsi="Arial Narrow" w:cs="Arial Narrow"/>
          <w:color w:val="000000"/>
          <w:sz w:val="23"/>
          <w:szCs w:val="23"/>
        </w:rPr>
        <w:t xml:space="preserve">  </w:t>
      </w:r>
      <w:r w:rsidR="00D323D8">
        <w:rPr>
          <w:rFonts w:ascii="Arial Narrow" w:hAnsi="Arial Narrow" w:cs="Arial Narrow"/>
          <w:color w:val="000000"/>
          <w:sz w:val="23"/>
          <w:szCs w:val="23"/>
        </w:rPr>
        <w:t>Covers</w:t>
      </w:r>
      <w:r w:rsidR="005F38A0">
        <w:rPr>
          <w:rFonts w:ascii="Arial Narrow" w:hAnsi="Arial Narrow" w:cs="Arial Narrow"/>
          <w:color w:val="000000"/>
          <w:sz w:val="23"/>
          <w:szCs w:val="23"/>
        </w:rPr>
        <w:t xml:space="preserve"> payment of course fees and a small study allowance.</w:t>
      </w:r>
    </w:p>
    <w:p w:rsidR="00A01029" w:rsidRPr="00A01029" w:rsidRDefault="00A01029" w:rsidP="00A01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A01029" w:rsidRDefault="00500C5E" w:rsidP="00A0102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 w:rsidRPr="00500C5E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Study Grant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– This </w:t>
      </w:r>
      <w:r w:rsidR="005F38A0">
        <w:rPr>
          <w:rFonts w:ascii="Arial Narrow" w:hAnsi="Arial Narrow" w:cs="Arial Narrow"/>
          <w:color w:val="000000"/>
          <w:sz w:val="23"/>
          <w:szCs w:val="23"/>
        </w:rPr>
        <w:t>grant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is suitable for people in the workforce who have a good study record and can make a reasonable time commitment to further study. </w:t>
      </w:r>
      <w:r w:rsidR="00D323D8">
        <w:rPr>
          <w:rFonts w:ascii="Arial Narrow" w:hAnsi="Arial Narrow" w:cs="Arial Narrow"/>
          <w:color w:val="000000"/>
          <w:sz w:val="23"/>
          <w:szCs w:val="23"/>
        </w:rPr>
        <w:t>Covers course fees of up to 2 papers per semester.</w:t>
      </w:r>
    </w:p>
    <w:p w:rsidR="00A01029" w:rsidRPr="00A01029" w:rsidRDefault="00A01029" w:rsidP="00A0102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A01029" w:rsidRDefault="00A01029" w:rsidP="00A01029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Applicants must have successfully completed at least 4 courses with a </w:t>
      </w:r>
      <w:r w:rsidRPr="00A01029">
        <w:rPr>
          <w:rFonts w:ascii="Arial Narrow" w:hAnsi="Arial Narrow" w:cs="Arial Narrow"/>
          <w:b/>
          <w:color w:val="000000"/>
          <w:sz w:val="23"/>
          <w:szCs w:val="23"/>
        </w:rPr>
        <w:t xml:space="preserve">“B” </w:t>
      </w:r>
      <w:r w:rsidR="00ED7106">
        <w:rPr>
          <w:rFonts w:ascii="Arial Narrow" w:hAnsi="Arial Narrow" w:cs="Arial Narrow"/>
          <w:b/>
          <w:color w:val="000000"/>
          <w:sz w:val="23"/>
          <w:szCs w:val="23"/>
        </w:rPr>
        <w:t xml:space="preserve">grade </w:t>
      </w:r>
      <w:r w:rsidRPr="00A01029">
        <w:rPr>
          <w:rFonts w:ascii="Arial Narrow" w:hAnsi="Arial Narrow" w:cs="Arial Narrow"/>
          <w:b/>
          <w:color w:val="000000"/>
          <w:sz w:val="23"/>
          <w:szCs w:val="23"/>
        </w:rPr>
        <w:t>average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at an approved tertiary institute and the course of study </w:t>
      </w:r>
      <w:r w:rsidR="00D323D8">
        <w:rPr>
          <w:rFonts w:ascii="Arial Narrow" w:hAnsi="Arial Narrow" w:cs="Arial Narrow"/>
          <w:color w:val="000000"/>
          <w:sz w:val="23"/>
          <w:szCs w:val="23"/>
        </w:rPr>
        <w:t>undertaken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="00D323D8">
        <w:rPr>
          <w:rFonts w:ascii="Arial Narrow" w:hAnsi="Arial Narrow" w:cs="Arial Narrow"/>
          <w:color w:val="000000"/>
          <w:sz w:val="23"/>
          <w:szCs w:val="23"/>
        </w:rPr>
        <w:t>in-country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even if the provider is located off-shore</w:t>
      </w:r>
    </w:p>
    <w:p w:rsidR="00B30867" w:rsidRDefault="00B30867" w:rsidP="00B02DE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B30867" w:rsidRDefault="00B30867" w:rsidP="00B3086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 w:rsidRPr="00320A91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 xml:space="preserve">International </w:t>
      </w:r>
      <w:r w:rsidR="00A01029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Scholarships</w:t>
      </w:r>
      <w:r w:rsidRPr="00320A91">
        <w:rPr>
          <w:rFonts w:ascii="Arial Narrow" w:hAnsi="Arial Narrow" w:cs="Arial Narrow"/>
          <w:b/>
          <w:color w:val="000000"/>
          <w:sz w:val="23"/>
          <w:szCs w:val="23"/>
          <w:u w:val="single"/>
        </w:rPr>
        <w:t>:</w:t>
      </w:r>
    </w:p>
    <w:p w:rsidR="00320A91" w:rsidRPr="003340BD" w:rsidRDefault="00320A91" w:rsidP="00320A91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>
        <w:rPr>
          <w:rFonts w:ascii="Arial Narrow" w:hAnsi="Arial Narrow" w:cs="Arial Narrow"/>
          <w:color w:val="000000"/>
          <w:sz w:val="23"/>
          <w:szCs w:val="23"/>
        </w:rPr>
        <w:t>Study</w:t>
      </w:r>
      <w:r w:rsidR="00A7453A">
        <w:rPr>
          <w:rFonts w:ascii="Arial Narrow" w:hAnsi="Arial Narrow" w:cs="Arial Narrow"/>
          <w:color w:val="000000"/>
          <w:sz w:val="23"/>
          <w:szCs w:val="23"/>
        </w:rPr>
        <w:t xml:space="preserve"> Starter Pack – One off grant for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</w:t>
      </w:r>
      <w:r w:rsidR="00767DE7">
        <w:rPr>
          <w:rFonts w:ascii="Arial Narrow" w:hAnsi="Arial Narrow" w:cs="Arial Narrow"/>
          <w:color w:val="000000"/>
          <w:sz w:val="23"/>
          <w:szCs w:val="23"/>
        </w:rPr>
        <w:t xml:space="preserve">first year </w:t>
      </w:r>
      <w:r>
        <w:rPr>
          <w:rFonts w:ascii="Arial Narrow" w:hAnsi="Arial Narrow" w:cs="Arial Narrow"/>
          <w:color w:val="000000"/>
          <w:sz w:val="23"/>
          <w:szCs w:val="23"/>
        </w:rPr>
        <w:t>students wishin</w:t>
      </w:r>
      <w:r w:rsidR="00A7453A">
        <w:rPr>
          <w:rFonts w:ascii="Arial Narrow" w:hAnsi="Arial Narrow" w:cs="Arial Narrow"/>
          <w:color w:val="000000"/>
          <w:sz w:val="23"/>
          <w:szCs w:val="23"/>
        </w:rPr>
        <w:t xml:space="preserve">g to travel overseas to study; also applies to mature </w:t>
      </w:r>
      <w:r w:rsidR="00767DE7">
        <w:rPr>
          <w:rFonts w:ascii="Arial Narrow" w:hAnsi="Arial Narrow" w:cs="Arial Narrow"/>
          <w:color w:val="000000"/>
          <w:sz w:val="23"/>
          <w:szCs w:val="23"/>
        </w:rPr>
        <w:t>applicants</w:t>
      </w:r>
      <w:r w:rsidR="00A7453A">
        <w:rPr>
          <w:rFonts w:ascii="Arial Narrow" w:hAnsi="Arial Narrow" w:cs="Arial Narrow"/>
          <w:color w:val="000000"/>
          <w:sz w:val="23"/>
          <w:szCs w:val="23"/>
        </w:rPr>
        <w:t xml:space="preserve">.  Starter packs are intended to give </w:t>
      </w:r>
      <w:r w:rsidR="005C19BD">
        <w:rPr>
          <w:rFonts w:ascii="Arial Narrow" w:hAnsi="Arial Narrow" w:cs="Arial Narrow"/>
          <w:color w:val="000000"/>
          <w:sz w:val="23"/>
          <w:szCs w:val="23"/>
        </w:rPr>
        <w:t>opportunities for students</w:t>
      </w:r>
      <w:r w:rsidR="00A7453A">
        <w:rPr>
          <w:rFonts w:ascii="Arial Narrow" w:hAnsi="Arial Narrow" w:cs="Arial Narrow"/>
          <w:color w:val="000000"/>
          <w:sz w:val="23"/>
          <w:szCs w:val="23"/>
        </w:rPr>
        <w:t xml:space="preserve"> to study across a wide range of programme areas at the certificate, diploma and degree level</w:t>
      </w:r>
      <w:r w:rsidR="005C19BD">
        <w:rPr>
          <w:rFonts w:ascii="Arial Narrow" w:hAnsi="Arial Narrow" w:cs="Arial Narrow"/>
          <w:color w:val="000000"/>
          <w:sz w:val="23"/>
          <w:szCs w:val="23"/>
        </w:rPr>
        <w:t>.</w:t>
      </w:r>
    </w:p>
    <w:p w:rsidR="003340BD" w:rsidRPr="00320A91" w:rsidRDefault="003340BD" w:rsidP="003340BD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bookmarkStart w:id="0" w:name="_GoBack"/>
      <w:bookmarkEnd w:id="0"/>
    </w:p>
    <w:p w:rsidR="009F4174" w:rsidRPr="00ED7106" w:rsidRDefault="00320A91" w:rsidP="009F4174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Full Scholarship (from second year of study onwards) </w:t>
      </w:r>
      <w:r w:rsidR="009F4174">
        <w:rPr>
          <w:rFonts w:ascii="Arial Narrow" w:hAnsi="Arial Narrow" w:cs="Arial Narrow"/>
          <w:color w:val="000000"/>
          <w:sz w:val="23"/>
          <w:szCs w:val="23"/>
        </w:rPr>
        <w:t>–</w:t>
      </w:r>
      <w:r w:rsidR="005C19BD">
        <w:rPr>
          <w:rFonts w:ascii="Arial Narrow" w:hAnsi="Arial Narrow" w:cs="Arial Narrow"/>
          <w:color w:val="000000"/>
          <w:sz w:val="23"/>
          <w:szCs w:val="23"/>
        </w:rPr>
        <w:t>S</w:t>
      </w:r>
      <w:r w:rsidR="009F4174">
        <w:rPr>
          <w:rFonts w:ascii="Arial Narrow" w:hAnsi="Arial Narrow" w:cs="Arial Narrow"/>
          <w:color w:val="000000"/>
          <w:sz w:val="23"/>
          <w:szCs w:val="23"/>
        </w:rPr>
        <w:t xml:space="preserve">tudents meeting the criteria of the Study Starter Pack and those studying privately </w:t>
      </w:r>
      <w:r w:rsidR="005C19BD">
        <w:rPr>
          <w:rFonts w:ascii="Arial Narrow" w:hAnsi="Arial Narrow" w:cs="Arial Narrow"/>
          <w:color w:val="000000"/>
          <w:sz w:val="23"/>
          <w:szCs w:val="23"/>
        </w:rPr>
        <w:t>who are</w:t>
      </w:r>
      <w:r w:rsidR="009F4174">
        <w:rPr>
          <w:rFonts w:ascii="Arial Narrow" w:hAnsi="Arial Narrow" w:cs="Arial Narrow"/>
          <w:color w:val="000000"/>
          <w:sz w:val="23"/>
          <w:szCs w:val="23"/>
        </w:rPr>
        <w:t xml:space="preserve"> in their second year of study</w:t>
      </w:r>
      <w:r w:rsidR="005C19BD">
        <w:rPr>
          <w:rFonts w:ascii="Arial Narrow" w:hAnsi="Arial Narrow" w:cs="Arial Narrow"/>
          <w:color w:val="000000"/>
          <w:sz w:val="23"/>
          <w:szCs w:val="23"/>
        </w:rPr>
        <w:t>.</w:t>
      </w:r>
      <w:r w:rsidR="00771AC6">
        <w:rPr>
          <w:rFonts w:ascii="Arial Narrow" w:hAnsi="Arial Narrow" w:cs="Arial Narrow"/>
          <w:color w:val="000000"/>
          <w:sz w:val="23"/>
          <w:szCs w:val="23"/>
        </w:rPr>
        <w:t xml:space="preserve">  Must have completed a minimum equivalent of one full academic year with a </w:t>
      </w:r>
      <w:r w:rsidR="00771AC6" w:rsidRPr="00ED7106">
        <w:rPr>
          <w:rFonts w:ascii="Arial Narrow" w:hAnsi="Arial Narrow" w:cs="Arial Narrow"/>
          <w:b/>
          <w:color w:val="000000"/>
          <w:sz w:val="23"/>
          <w:szCs w:val="23"/>
        </w:rPr>
        <w:t>“B” grade average</w:t>
      </w:r>
      <w:r w:rsidR="00771AC6">
        <w:rPr>
          <w:rFonts w:ascii="Arial Narrow" w:hAnsi="Arial Narrow" w:cs="Arial Narrow"/>
          <w:b/>
          <w:color w:val="000000"/>
          <w:sz w:val="23"/>
          <w:szCs w:val="23"/>
        </w:rPr>
        <w:t>.</w:t>
      </w:r>
    </w:p>
    <w:p w:rsidR="00ED7106" w:rsidRDefault="00ED7106" w:rsidP="00ED7106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</w:p>
    <w:p w:rsidR="00ED7106" w:rsidRPr="00A01029" w:rsidRDefault="00ED7106" w:rsidP="00ED710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>Applicant selection will be based on meeting the scholarship eligibility criteria, primarily that of academic merit</w:t>
      </w:r>
      <w:r w:rsidR="00771AC6">
        <w:rPr>
          <w:rFonts w:ascii="Arial Narrow" w:hAnsi="Arial Narrow" w:cs="Arial Narrow"/>
          <w:color w:val="000000"/>
          <w:sz w:val="23"/>
          <w:szCs w:val="23"/>
        </w:rPr>
        <w:t>.</w:t>
      </w:r>
      <w:r>
        <w:rPr>
          <w:rFonts w:ascii="Arial Narrow" w:hAnsi="Arial Narrow" w:cs="Arial Narrow"/>
          <w:color w:val="000000"/>
          <w:sz w:val="23"/>
          <w:szCs w:val="23"/>
        </w:rPr>
        <w:t xml:space="preserve"> </w:t>
      </w:r>
    </w:p>
    <w:p w:rsidR="003F57BF" w:rsidRDefault="003F57BF" w:rsidP="003F57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3F57BF" w:rsidRDefault="003F57BF" w:rsidP="003F57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  <w:r>
        <w:rPr>
          <w:rFonts w:ascii="Arial Narrow" w:hAnsi="Arial Narrow" w:cs="Arial Narrow"/>
          <w:color w:val="000000"/>
          <w:sz w:val="23"/>
          <w:szCs w:val="23"/>
        </w:rPr>
        <w:t xml:space="preserve">For further information about the programme and its requirements, contact Anna Roi on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ph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 xml:space="preserve"> 29357 </w:t>
      </w:r>
      <w:proofErr w:type="spellStart"/>
      <w:r>
        <w:rPr>
          <w:rFonts w:ascii="Arial Narrow" w:hAnsi="Arial Narrow" w:cs="Arial Narrow"/>
          <w:color w:val="000000"/>
          <w:sz w:val="23"/>
          <w:szCs w:val="23"/>
        </w:rPr>
        <w:t>ext</w:t>
      </w:r>
      <w:proofErr w:type="spellEnd"/>
      <w:r>
        <w:rPr>
          <w:rFonts w:ascii="Arial Narrow" w:hAnsi="Arial Narrow" w:cs="Arial Narrow"/>
          <w:color w:val="000000"/>
          <w:sz w:val="23"/>
          <w:szCs w:val="23"/>
        </w:rPr>
        <w:t xml:space="preserve"> 245 or email </w:t>
      </w:r>
      <w:hyperlink r:id="rId6" w:history="1">
        <w:r w:rsidRPr="004E31A7">
          <w:rPr>
            <w:rStyle w:val="Hyperlink"/>
            <w:rFonts w:ascii="Arial Narrow" w:hAnsi="Arial Narrow" w:cs="Arial Narrow"/>
            <w:sz w:val="23"/>
            <w:szCs w:val="23"/>
          </w:rPr>
          <w:t>scholarships@education.gov.ck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 or visit our website on </w:t>
      </w:r>
      <w:hyperlink r:id="rId7" w:history="1">
        <w:r w:rsidRPr="004E31A7">
          <w:rPr>
            <w:rStyle w:val="Hyperlink"/>
            <w:rFonts w:ascii="Arial Narrow" w:hAnsi="Arial Narrow" w:cs="Arial Narrow"/>
            <w:sz w:val="23"/>
            <w:szCs w:val="23"/>
          </w:rPr>
          <w:t>www.education.gov.ck</w:t>
        </w:r>
      </w:hyperlink>
      <w:r>
        <w:rPr>
          <w:rFonts w:ascii="Arial Narrow" w:hAnsi="Arial Narrow" w:cs="Arial Narrow"/>
          <w:color w:val="000000"/>
          <w:sz w:val="23"/>
          <w:szCs w:val="23"/>
        </w:rPr>
        <w:t xml:space="preserve">.  Application forms must be received no later than </w:t>
      </w:r>
      <w:r w:rsidRPr="003F57BF">
        <w:rPr>
          <w:rFonts w:ascii="Arial Narrow" w:hAnsi="Arial Narrow" w:cs="Arial Narrow"/>
          <w:color w:val="000000"/>
          <w:sz w:val="23"/>
          <w:szCs w:val="23"/>
          <w:u w:val="single"/>
        </w:rPr>
        <w:t>4pm Friday 30</w:t>
      </w:r>
      <w:r w:rsidRPr="003F57BF">
        <w:rPr>
          <w:rFonts w:ascii="Arial Narrow" w:hAnsi="Arial Narrow" w:cs="Arial Narrow"/>
          <w:color w:val="000000"/>
          <w:sz w:val="23"/>
          <w:szCs w:val="23"/>
          <w:u w:val="single"/>
          <w:vertAlign w:val="superscript"/>
        </w:rPr>
        <w:t>th</w:t>
      </w:r>
      <w:r w:rsidRPr="003F57BF">
        <w:rPr>
          <w:rFonts w:ascii="Arial Narrow" w:hAnsi="Arial Narrow" w:cs="Arial Narrow"/>
          <w:color w:val="000000"/>
          <w:sz w:val="23"/>
          <w:szCs w:val="23"/>
          <w:u w:val="single"/>
        </w:rPr>
        <w:t xml:space="preserve"> November</w:t>
      </w:r>
      <w:r>
        <w:rPr>
          <w:rFonts w:ascii="Arial Narrow" w:hAnsi="Arial Narrow" w:cs="Arial Narrow"/>
          <w:color w:val="000000"/>
          <w:sz w:val="23"/>
          <w:szCs w:val="23"/>
        </w:rPr>
        <w:t>.</w:t>
      </w:r>
    </w:p>
    <w:p w:rsidR="003F57BF" w:rsidRPr="003F57BF" w:rsidRDefault="003F57BF" w:rsidP="003F57B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b/>
          <w:color w:val="000000"/>
          <w:sz w:val="23"/>
          <w:szCs w:val="23"/>
          <w:u w:val="single"/>
        </w:rPr>
      </w:pPr>
    </w:p>
    <w:p w:rsidR="004658BF" w:rsidRPr="00FF41DE" w:rsidRDefault="004658BF" w:rsidP="004658B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tbl>
      <w:tblPr>
        <w:tblW w:w="6832" w:type="dxa"/>
        <w:tblLook w:val="04A0" w:firstRow="1" w:lastRow="0" w:firstColumn="1" w:lastColumn="0" w:noHBand="0" w:noVBand="1"/>
      </w:tblPr>
      <w:tblGrid>
        <w:gridCol w:w="3416"/>
        <w:gridCol w:w="3416"/>
      </w:tblGrid>
      <w:tr w:rsidR="00432702" w:rsidTr="00432702">
        <w:trPr>
          <w:trHeight w:val="711"/>
        </w:trPr>
        <w:tc>
          <w:tcPr>
            <w:tcW w:w="0" w:type="auto"/>
            <w:hideMark/>
          </w:tcPr>
          <w:p w:rsidR="00614B45" w:rsidRDefault="00614B45" w:rsidP="004327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b/>
                <w:noProof/>
                <w:color w:val="365F91"/>
                <w:sz w:val="20"/>
                <w:lang w:eastAsia="en-NZ"/>
              </w:rPr>
            </w:pPr>
          </w:p>
          <w:p w:rsidR="00432702" w:rsidRPr="00432702" w:rsidRDefault="00432702" w:rsidP="00432702">
            <w:pPr>
              <w:spacing w:after="0" w:line="240" w:lineRule="auto"/>
              <w:rPr>
                <w:rFonts w:ascii="Arial Narrow" w:hAnsi="Arial Narrow" w:cs="Arial Narrow"/>
                <w:color w:val="000000"/>
                <w:sz w:val="23"/>
                <w:szCs w:val="23"/>
              </w:rPr>
            </w:pPr>
            <w:r>
              <w:rPr>
                <w:rFonts w:ascii="Arial" w:eastAsiaTheme="minorEastAsia" w:hAnsi="Arial" w:cs="Arial"/>
                <w:noProof/>
                <w:color w:val="808080"/>
                <w:sz w:val="15"/>
                <w:lang w:eastAsia="en-NZ"/>
              </w:rPr>
              <w:br/>
            </w:r>
          </w:p>
        </w:tc>
        <w:tc>
          <w:tcPr>
            <w:tcW w:w="0" w:type="auto"/>
            <w:hideMark/>
          </w:tcPr>
          <w:p w:rsidR="00432702" w:rsidRDefault="00B23A17">
            <w:pPr>
              <w:spacing w:line="254" w:lineRule="auto"/>
              <w:rPr>
                <w:rFonts w:eastAsiaTheme="minorEastAsia"/>
                <w:noProof/>
                <w:lang w:eastAsia="en-NZ"/>
              </w:rPr>
            </w:pPr>
            <w:r>
              <w:rPr>
                <w:rFonts w:eastAsiaTheme="minorEastAsia"/>
                <w:noProof/>
                <w:lang w:eastAsia="en-NZ"/>
              </w:rPr>
              <w:t xml:space="preserve"> </w:t>
            </w:r>
          </w:p>
          <w:p w:rsidR="003F57BF" w:rsidRDefault="003F57BF" w:rsidP="003F57BF">
            <w:pPr>
              <w:spacing w:line="254" w:lineRule="auto"/>
              <w:ind w:left="-3382"/>
              <w:rPr>
                <w:rFonts w:eastAsiaTheme="minorEastAsia"/>
                <w:noProof/>
                <w:lang w:eastAsia="en-NZ"/>
              </w:rPr>
            </w:pPr>
          </w:p>
        </w:tc>
      </w:tr>
    </w:tbl>
    <w:p w:rsidR="00A7453A" w:rsidRDefault="00A7453A" w:rsidP="00A7453A">
      <w:pPr>
        <w:pStyle w:val="Default"/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Default="00432702" w:rsidP="00D0515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p w:rsidR="00432702" w:rsidRPr="00D0515F" w:rsidRDefault="0043270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 Narrow"/>
          <w:color w:val="000000"/>
          <w:sz w:val="23"/>
          <w:szCs w:val="23"/>
        </w:rPr>
      </w:pPr>
    </w:p>
    <w:sectPr w:rsidR="00432702" w:rsidRPr="00D0515F" w:rsidSect="00256778"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036C"/>
    <w:multiLevelType w:val="hybridMultilevel"/>
    <w:tmpl w:val="AFD070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12207"/>
    <w:multiLevelType w:val="hybridMultilevel"/>
    <w:tmpl w:val="731A1B50"/>
    <w:lvl w:ilvl="0" w:tplc="D730E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6267C"/>
    <w:multiLevelType w:val="hybridMultilevel"/>
    <w:tmpl w:val="AF167282"/>
    <w:lvl w:ilvl="0" w:tplc="FE1E61F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416A9D"/>
    <w:multiLevelType w:val="hybridMultilevel"/>
    <w:tmpl w:val="DA28B822"/>
    <w:lvl w:ilvl="0" w:tplc="9BA0B0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D3F9F"/>
    <w:multiLevelType w:val="hybridMultilevel"/>
    <w:tmpl w:val="135AA04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25F44"/>
    <w:multiLevelType w:val="hybridMultilevel"/>
    <w:tmpl w:val="1CB81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02039"/>
    <w:multiLevelType w:val="hybridMultilevel"/>
    <w:tmpl w:val="D1BA55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992F9F"/>
    <w:multiLevelType w:val="hybridMultilevel"/>
    <w:tmpl w:val="DBDE8B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68"/>
    <w:rsid w:val="00020ECE"/>
    <w:rsid w:val="00035E6B"/>
    <w:rsid w:val="000414F6"/>
    <w:rsid w:val="00046D55"/>
    <w:rsid w:val="000509D3"/>
    <w:rsid w:val="000A4A06"/>
    <w:rsid w:val="000A5120"/>
    <w:rsid w:val="000A765C"/>
    <w:rsid w:val="000C0283"/>
    <w:rsid w:val="000C6CF7"/>
    <w:rsid w:val="000D29B5"/>
    <w:rsid w:val="000E081D"/>
    <w:rsid w:val="000E414E"/>
    <w:rsid w:val="000E72CB"/>
    <w:rsid w:val="00100B1F"/>
    <w:rsid w:val="00122313"/>
    <w:rsid w:val="00132289"/>
    <w:rsid w:val="00136309"/>
    <w:rsid w:val="00144B85"/>
    <w:rsid w:val="001611BA"/>
    <w:rsid w:val="001901FF"/>
    <w:rsid w:val="00194E1D"/>
    <w:rsid w:val="001A09E9"/>
    <w:rsid w:val="001D562B"/>
    <w:rsid w:val="001D567F"/>
    <w:rsid w:val="001E4B16"/>
    <w:rsid w:val="001F1016"/>
    <w:rsid w:val="001F43EA"/>
    <w:rsid w:val="002553EE"/>
    <w:rsid w:val="00256778"/>
    <w:rsid w:val="0026115B"/>
    <w:rsid w:val="002835A3"/>
    <w:rsid w:val="002D2E25"/>
    <w:rsid w:val="00302057"/>
    <w:rsid w:val="0031251C"/>
    <w:rsid w:val="003158E5"/>
    <w:rsid w:val="00320A91"/>
    <w:rsid w:val="0032263D"/>
    <w:rsid w:val="00326F62"/>
    <w:rsid w:val="00331E04"/>
    <w:rsid w:val="003340BD"/>
    <w:rsid w:val="0033413E"/>
    <w:rsid w:val="00356093"/>
    <w:rsid w:val="00361259"/>
    <w:rsid w:val="00364A6F"/>
    <w:rsid w:val="0037142F"/>
    <w:rsid w:val="00373914"/>
    <w:rsid w:val="003742E4"/>
    <w:rsid w:val="003A71D1"/>
    <w:rsid w:val="003B7702"/>
    <w:rsid w:val="003C3E65"/>
    <w:rsid w:val="003F16E3"/>
    <w:rsid w:val="003F5363"/>
    <w:rsid w:val="003F57BF"/>
    <w:rsid w:val="00400F69"/>
    <w:rsid w:val="004108DA"/>
    <w:rsid w:val="004159E1"/>
    <w:rsid w:val="0042644C"/>
    <w:rsid w:val="00432702"/>
    <w:rsid w:val="004427B9"/>
    <w:rsid w:val="004516D9"/>
    <w:rsid w:val="00453682"/>
    <w:rsid w:val="00457BAB"/>
    <w:rsid w:val="004658BF"/>
    <w:rsid w:val="0048540A"/>
    <w:rsid w:val="004913D7"/>
    <w:rsid w:val="004A48FA"/>
    <w:rsid w:val="004B5848"/>
    <w:rsid w:val="004B6031"/>
    <w:rsid w:val="004D105E"/>
    <w:rsid w:val="00500C5E"/>
    <w:rsid w:val="00515668"/>
    <w:rsid w:val="00521AF0"/>
    <w:rsid w:val="00525956"/>
    <w:rsid w:val="00535133"/>
    <w:rsid w:val="005472EC"/>
    <w:rsid w:val="005556D0"/>
    <w:rsid w:val="00566F5C"/>
    <w:rsid w:val="005775CC"/>
    <w:rsid w:val="00590B4D"/>
    <w:rsid w:val="005A19ED"/>
    <w:rsid w:val="005C19BD"/>
    <w:rsid w:val="005E031E"/>
    <w:rsid w:val="005E33EF"/>
    <w:rsid w:val="005E55E8"/>
    <w:rsid w:val="005E5C73"/>
    <w:rsid w:val="005F38A0"/>
    <w:rsid w:val="005F40C0"/>
    <w:rsid w:val="005F63BA"/>
    <w:rsid w:val="005F7595"/>
    <w:rsid w:val="00614B45"/>
    <w:rsid w:val="00636384"/>
    <w:rsid w:val="00665F76"/>
    <w:rsid w:val="006679B3"/>
    <w:rsid w:val="00672054"/>
    <w:rsid w:val="00675A9F"/>
    <w:rsid w:val="006A190F"/>
    <w:rsid w:val="006A2902"/>
    <w:rsid w:val="006C5B66"/>
    <w:rsid w:val="006F2CFA"/>
    <w:rsid w:val="00711B1F"/>
    <w:rsid w:val="00736E80"/>
    <w:rsid w:val="0073778E"/>
    <w:rsid w:val="00742EEF"/>
    <w:rsid w:val="00767DE7"/>
    <w:rsid w:val="007705C1"/>
    <w:rsid w:val="00770F10"/>
    <w:rsid w:val="00771AC6"/>
    <w:rsid w:val="007B6BA6"/>
    <w:rsid w:val="007D2E9C"/>
    <w:rsid w:val="00827AFE"/>
    <w:rsid w:val="00834D7E"/>
    <w:rsid w:val="0084599C"/>
    <w:rsid w:val="00860248"/>
    <w:rsid w:val="008709D2"/>
    <w:rsid w:val="00873526"/>
    <w:rsid w:val="008804EC"/>
    <w:rsid w:val="00896614"/>
    <w:rsid w:val="008974D2"/>
    <w:rsid w:val="008A3D09"/>
    <w:rsid w:val="008B7B07"/>
    <w:rsid w:val="008D0ADC"/>
    <w:rsid w:val="008D0C8B"/>
    <w:rsid w:val="008F7B99"/>
    <w:rsid w:val="009119B0"/>
    <w:rsid w:val="00913980"/>
    <w:rsid w:val="0092109F"/>
    <w:rsid w:val="0095354B"/>
    <w:rsid w:val="0096005B"/>
    <w:rsid w:val="009725BD"/>
    <w:rsid w:val="009868E6"/>
    <w:rsid w:val="009956F2"/>
    <w:rsid w:val="009F4174"/>
    <w:rsid w:val="00A01029"/>
    <w:rsid w:val="00A03985"/>
    <w:rsid w:val="00A22BDA"/>
    <w:rsid w:val="00A268E9"/>
    <w:rsid w:val="00A3580A"/>
    <w:rsid w:val="00A404CB"/>
    <w:rsid w:val="00A527F6"/>
    <w:rsid w:val="00A57966"/>
    <w:rsid w:val="00A6516C"/>
    <w:rsid w:val="00A7453A"/>
    <w:rsid w:val="00A81554"/>
    <w:rsid w:val="00A93294"/>
    <w:rsid w:val="00AA5DFB"/>
    <w:rsid w:val="00AB720D"/>
    <w:rsid w:val="00AC3BE9"/>
    <w:rsid w:val="00AC6D1A"/>
    <w:rsid w:val="00AD61BF"/>
    <w:rsid w:val="00AF2109"/>
    <w:rsid w:val="00AF72AB"/>
    <w:rsid w:val="00B01DAA"/>
    <w:rsid w:val="00B02DE5"/>
    <w:rsid w:val="00B033E1"/>
    <w:rsid w:val="00B23A17"/>
    <w:rsid w:val="00B242E8"/>
    <w:rsid w:val="00B30867"/>
    <w:rsid w:val="00B33ACA"/>
    <w:rsid w:val="00B60D51"/>
    <w:rsid w:val="00B653B5"/>
    <w:rsid w:val="00B72AC2"/>
    <w:rsid w:val="00B73EC6"/>
    <w:rsid w:val="00B85ED3"/>
    <w:rsid w:val="00B85EE3"/>
    <w:rsid w:val="00BA2A94"/>
    <w:rsid w:val="00BA5338"/>
    <w:rsid w:val="00BB6515"/>
    <w:rsid w:val="00BC4AA9"/>
    <w:rsid w:val="00BC508F"/>
    <w:rsid w:val="00BC770D"/>
    <w:rsid w:val="00BE64EA"/>
    <w:rsid w:val="00BF409A"/>
    <w:rsid w:val="00BF55C5"/>
    <w:rsid w:val="00C00E7B"/>
    <w:rsid w:val="00C106A0"/>
    <w:rsid w:val="00C133E8"/>
    <w:rsid w:val="00C15670"/>
    <w:rsid w:val="00C30D7A"/>
    <w:rsid w:val="00C34251"/>
    <w:rsid w:val="00C40AF9"/>
    <w:rsid w:val="00C41394"/>
    <w:rsid w:val="00C5597A"/>
    <w:rsid w:val="00C572D3"/>
    <w:rsid w:val="00C74268"/>
    <w:rsid w:val="00C814DA"/>
    <w:rsid w:val="00CA5068"/>
    <w:rsid w:val="00CB22B5"/>
    <w:rsid w:val="00CB6BB9"/>
    <w:rsid w:val="00CC0BF3"/>
    <w:rsid w:val="00D0515F"/>
    <w:rsid w:val="00D17C80"/>
    <w:rsid w:val="00D323D8"/>
    <w:rsid w:val="00D32E92"/>
    <w:rsid w:val="00D33F9E"/>
    <w:rsid w:val="00D5547C"/>
    <w:rsid w:val="00D55660"/>
    <w:rsid w:val="00D604DB"/>
    <w:rsid w:val="00D67570"/>
    <w:rsid w:val="00D75F9F"/>
    <w:rsid w:val="00D8274B"/>
    <w:rsid w:val="00DB3CA7"/>
    <w:rsid w:val="00DC42B4"/>
    <w:rsid w:val="00DC6EC8"/>
    <w:rsid w:val="00DD4C11"/>
    <w:rsid w:val="00DE0B38"/>
    <w:rsid w:val="00DF6B61"/>
    <w:rsid w:val="00E04014"/>
    <w:rsid w:val="00E30F02"/>
    <w:rsid w:val="00E446D4"/>
    <w:rsid w:val="00E46FF1"/>
    <w:rsid w:val="00EA095A"/>
    <w:rsid w:val="00EB531F"/>
    <w:rsid w:val="00EB75D5"/>
    <w:rsid w:val="00EC4A30"/>
    <w:rsid w:val="00ED33E4"/>
    <w:rsid w:val="00ED7106"/>
    <w:rsid w:val="00F05A7E"/>
    <w:rsid w:val="00F07B39"/>
    <w:rsid w:val="00F30628"/>
    <w:rsid w:val="00F30CCF"/>
    <w:rsid w:val="00F70307"/>
    <w:rsid w:val="00F84C17"/>
    <w:rsid w:val="00F95DFC"/>
    <w:rsid w:val="00FA3CBA"/>
    <w:rsid w:val="00FB5B5B"/>
    <w:rsid w:val="00FE54B2"/>
    <w:rsid w:val="00FE6528"/>
    <w:rsid w:val="00FF41DE"/>
    <w:rsid w:val="00FF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44DF72"/>
  <w15:docId w15:val="{F3DCD9F0-DEBB-4057-ACD4-83E3F4957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515668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668"/>
    <w:rPr>
      <w:color w:val="0563C1" w:themeColor="hyperlink"/>
      <w:u w:val="single"/>
    </w:rPr>
  </w:style>
  <w:style w:type="character" w:customStyle="1" w:styleId="Heading9Char">
    <w:name w:val="Heading 9 Char"/>
    <w:basedOn w:val="DefaultParagraphFont"/>
    <w:link w:val="Heading9"/>
    <w:rsid w:val="00515668"/>
    <w:rPr>
      <w:rFonts w:ascii="Times New Roman" w:eastAsia="Times New Roman" w:hAnsi="Times New Roman" w:cs="Times New Roman"/>
      <w:sz w:val="24"/>
      <w:szCs w:val="20"/>
      <w:u w:val="single"/>
      <w:lang w:val="en-AU"/>
    </w:rPr>
  </w:style>
  <w:style w:type="paragraph" w:styleId="ListParagraph">
    <w:name w:val="List Paragraph"/>
    <w:basedOn w:val="Normal"/>
    <w:uiPriority w:val="34"/>
    <w:qFormat/>
    <w:rsid w:val="00590B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40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0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0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0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01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01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804EC"/>
    <w:pPr>
      <w:spacing w:after="0" w:line="240" w:lineRule="auto"/>
    </w:pPr>
  </w:style>
  <w:style w:type="paragraph" w:customStyle="1" w:styleId="Default">
    <w:name w:val="Default"/>
    <w:rsid w:val="00A745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cation.gov.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olarships@education.gov.ck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Foreign Affairs and Trade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Roi</dc:creator>
  <cp:lastModifiedBy>Anna Roi</cp:lastModifiedBy>
  <cp:revision>7</cp:revision>
  <cp:lastPrinted>2018-10-23T19:20:00Z</cp:lastPrinted>
  <dcterms:created xsi:type="dcterms:W3CDTF">2018-10-30T00:06:00Z</dcterms:created>
  <dcterms:modified xsi:type="dcterms:W3CDTF">2018-10-30T21:18:00Z</dcterms:modified>
</cp:coreProperties>
</file>